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2003 47 vom 12. November 2003</w:t>
      </w:r>
    </w:p>
    <w:p>
      <w:r>
        <w:t>GR Gerichte, 2003-11-12, DE</w:t>
      </w:r>
    </w:p>
    <w:p>
      <w:r>
        <w:rPr>
          <w:b/>
        </w:rPr>
        <w:t xml:space="preserve">Quelle: </w:t>
      </w:r>
      <w:r>
        <w:t>https://mcp.opencaselaw.ch/entscheid/gr_gerichte_BK 2003 47</w:t>
      </w:r>
    </w:p>
    <w:p>
      <w:r>
        <w:t>FR: GR_GERICHTE BK 2003 47 du 12 novembre 2003</w:t>
      </w:r>
    </w:p>
    <w:p>
      <w:r>
        <w:t>IT: GR_GERICHTE BK 2003 47 del 12 novembre 2003</w:t>
      </w:r>
    </w:p>
    <w:p>
      <w:pPr>
        <w:pStyle w:val="Heading2"/>
      </w:pPr>
      <w:r>
        <w:t>Regeste</w:t>
      </w:r>
    </w:p>
    <w:p>
      <w:r>
        <w:t>Veruntreuung | KreisP Einstellungsverfügung</w:t>
      </w:r>
    </w:p>
    <w:p>
      <w:pPr>
        <w:pStyle w:val="Heading2"/>
      </w:pPr>
      <w:r>
        <w:t>Erwägungen</w:t>
      </w:r>
    </w:p>
    <w:p>
      <w:r>
        <w:rPr>
          <w:b/>
        </w:rPr>
        <w:t>E. 5</w:t>
      </w:r>
    </w:p>
    <w:p>
      <w:r>
        <w:t>II.1. Der der angefochtenen Einstellungsverfügung zugrunde liegende Sach- verhalt ist insofern unbestritten, als feststeht, dass B. im Zeitpunkt, als er mit der Eingangskontrolle bei der Piano-Bar beauftragt war, von einem Gast, der kurz zuvor an einem Geldspielapparat einen grösseren Betrag gewonnen hatte, ein Trinkgeld von zwanzig Franken erhalten und die fragliche Banknote dabei in seine Hosenta- sche gesteckt und diese weder bei der nächsten Gelegenheit einem Arbeitskollegen zum Einlegen in einen Tronc-Behälter übergeben noch nach seiner Ablösung selbst in einen solchen gelegt hat. Er händigte den Geldschein hingegen sofort einem Mit- arbeiter aus, als er von Direktor C. im Überwachungsraum in Anwesenheit zweier weiterer Angestellter gefragt wurde, ob er ein Trinkgeld erhalten habe. Die Rechts- vertreterin der A. versucht nun unter Hinweis auf zahlreiche Gesetzesbestimmun- gen und Reglemente darzutun, dass das Verhalten des Angeschuldigten ein Fehl- verhalten darstelle, das als Veruntreuung zu qualifizieren sei. Sie weist darauf hin, dass Art. 29 Abs. 2 des Bundesgesetzes über Glückspiele und Spielbanken aus- drücklich festhalte, dass es dem Spielbankenpersonal untersagt sei, individuelle Trinkgelder anzunehmen. Die Eidgenössische Spielbankenkommission habe denn auch das A. H. angewiesen, dafür besorgt zu sein, dass im Kursaal für Trinkgelder vorgesehene Behälter aufgestellt und die Angestellten instruiert würden, dass die Spielgäste Trinkgelder in den Tronc-Behälter einzulegen hätten. Die A. befasse sich in verschiedenen Reglementen mit den Trinkgeldern. Das Tronc-Reglement be- stimme, dass alle Mitarbeiter verpflichtet seien, sämtliche von Gästen erhaltene Trinkgelder unverzüglich in einen dafür vorgesehenen Tronc-Behälter abzuführen. Verstösse gegen dieses Reglement würden nach dem Anstellungsreglement als Grund für eine ausserordentliche Kündigung betrachtet. Im Stellenbeschrieb werde auf das Vier-Augen-Prinzip verwiesen, und das Reglement über die Verhaltensre- geln schreibe vor, dass kein Trinkgeld persönlich entgegengenommen werden dürfe, sondern nur direkt vom Gast in den Tronc-Behälter zu geben sei. Die Be- schwerdeführerin weist sodann darauf hin, dass B. verschiedene Kurse absolviert habe, die sich unter anderem mit der Frage der Trinkgelder befasst hätten. Es sei ihm bestens bekannt gewesen, dass die Regeln über den Umgang mit Geld in ei- nem A. ein Grundgesetz darstellten. Dies hätten die Zeugen E., F. und C. im ar- beitsrechtlichen Verfahren vor dem Bezirksgericht H. anlässlich der Einvernahme vom 23. September 2003 bestätigt. Der erstere habe auch klar gemacht, dass B. verschiedene Möglichkeiten gehabt hätte, korrekt mit dem Trinkgeld umzugehen und die Zeugen F. und C. hätten ausgesagt, dass der Angeschuldigte zuerst erklärt habe, persönliches Trinkgeld dürfe man behalten. Zu diesen Zeugenaussagen ist festzustellen, dass sie dem Kreispräsidenten am 4. September 2003 bei Erlass der angefochtenen Verfügung noch nicht zur Verfügung standen, also im vorliegenden</w:t>
      </w:r>
    </w:p>
    <w:p>
      <w:r>
        <w:rPr>
          <w:b/>
        </w:rPr>
        <w:t>E. 6</w:t>
      </w:r>
    </w:p>
    <w:p>
      <w:r>
        <w:t>Verfahren nicht verwertet werden dürfen. Es sind in diesen Zeugendepositionen aber auch keine neuen Beweismittel zu sehen, welche eine Rückweisung der Sache an die Vorinstanz zur Ergänzung der Untersuchung durch Beizug dieser Akten be- ziehungsweise zur neuerlichen Befragung der Zeugen zu rechtfertigen vermöchten. Was diese mit Bezug auf die Handhabung der Trinkgelder und die Ausbildung der Angestellten zu bestätigen hätten, ist unbestritten, und mit Bezug auf Einzelheiten bei der Aushändigung des Geldes durch den Angeschuldigten bestehen zwischen dessen Aussagen und jenen der Zeugen gewisse Widersprüche, die sich – soweit die Details überhaupt von Bedeutung sein könnten – nicht in überzeugender Weise im einen oder anderen Sinne beseitigen liessen. Es kommt hinzu, dass alle drei im Zivilverfahren befragten Zeugen Angestellte der Strafantragstellerin und der Beklag- ten im arbeitsrechtlichen Verfahren sind, so dass ihre Aussagen ohnehin mit einer gewissen Zurückhaltung zu würdigen wären. Vergleicht man die in der Beschwerde zitierten Gesetzesbestimmungen mit den internen Reglementen der Beschwerdeführerin, so stellt man fest, dass offen- bar im A. H. den gesetzlichen Bestimmungen und den Weisungen der Eidgenössi- schen Spielbankenkommission nicht ganz konsequent nachgelebt wird. Während nämlich nach diesen die Annahme von Trinkgeldern durch Mitarbeiter, die nicht im persönlichen Dienstleistungsbereich angestellt sind, schlechthin untersagt ist, sind die Vorschriften der A. nicht gleich klar. Zwar untersagt das Anstellungsreglement den Arbeitnehmern die Annahme von Geldern oder Leistungen irgendwelcher Art und auch im Merkblatt über die Verhaltensregeln wird festgehalten, es dürfe kein Trinkgeld persönlich entgegengenommen, sondern nur vom Gast in den Tronc- Behälter gegeben werden. Auch in den Regeln über das Geldhandling wird vorge- schrieben, Trinkgeld von einem Gast werde nie persönlich entgegengenommen; der Mitarbeiter reiche dem Gast vielmehr den Tronc-Behälter, damit er das Geld selbst in diesen legen könne. In dem von der A. aufgestellten Tronc-Reglement werden die Mitarbeiter hingegen lediglich verpflichtet, von Gästen erhaltene freiwillige finan- zielle Leistungen wie Trinkgelder und ähnliches unverzüglich nach Erhalt in einen Tronc-Behälter einzulegen. Dass B. die Zwanzigernote entgegennahm, wird ihm denn entsprechend der letzteren Vorschrift von seiner damaligen Arbeitgeberin auch nicht vorgeworfen. Es wird ihm hingegen zur Last gelegt, dass er die Zwanzi- gernote in die Hosentasche steckte und nicht dafür besorgt war, dass der Geld- schein bei der nächstmöglichen Gelegenheit – sei es durch einen Mitarbeiter, der an ihm vorbeiging oder durch ihn selbst nach erfolgter Ablösung - in einen Tronc- Behälter gelangte.</w:t>
      </w:r>
    </w:p>
    <w:p>
      <w:r>
        <w:rPr>
          <w:b/>
        </w:rPr>
        <w:t>E. 7</w:t>
      </w:r>
    </w:p>
    <w:p>
      <w:r>
        <w:t>2.a) Im angefochtenen Entscheid wird ausgeführt, die im Tronc-Reglement verwendete Formulierung, wonach Trinkgelder „unverzüglich nach Erhalt“ in einen dafür vorgesehenen Tronc-Behälter abzuführen seien, könne nur so verstanden werden, dass der Mitarbeiter verpflichtet sei, das Geld vom Moment der Entgegen- nahme an getrennt von seinem eigenen Geld aufzubewahren. Somit sei das hier zur Diskussion stehende Trinkgeld als fremde bewegliche Sache im Sinne von Art. 138 Ziff. 1 Abs. 1 StGB zu qualifizieren. Da die Trinkgelder im Verhältnis von 81 % zu 19 % zwischen der A. und den Angestellten aufgeteilt würden, werde jeder Mita- rbeitende beim Empfang eines Trinkgeldes gleichsam zum Treuhänder seiner Ar- beitskollegen und der Arbeitgeberin, da alle aus der Vereinbarung vermögensrecht- liche Ansprüche ableiteten. Der Empfang von Trinkgeld sei dem Angeschuldigten im Vertrauen darauf gestattet gewesen, dass er es sofort in den Tronc abführe; es sei ihm damit vom Moment der Entgegennahme an als anvertraut im Sinne von Art. 138 Ziff. 1 StGB zu bezeichnen. Das Argument der Verteidigung, wonach es am Element des „Anvertrautseins“ fehle, weil im A. H. eine vierundzwanzigstündige Überwachung durch ein Kamerasystem bestehe, sei nicht stichhaltig, weil nicht alle Arbeitsbereiche von der Überwachungskamera erfasst würden und auch das Vier- Augen-Prinzip nicht immer gewährleistet sei. Auch das Tatbestandsmerkmal der Aneignung sei gegeben, was sich daraus ergebe, dass B. auch nach seiner Ablö- sung vom Dienst an der Eingangstür das Geld nicht in den Troncbehälter gegeben habe; darin sei ein äusserliches Zeichen eines Zueignungswillens zu sehen. b) Wie sich aus obigen Ausführungen ergibt, hat die Vorinstanz den zu beur- teilenden Fall unter dem Gesichtspunkt von Art. 138 Ziff. 1 Abs. 1 StGB beurteilt. Sie ist bei ihrer Argumentation davon ausgegangen, dass B. verpflichtet war, die von einem Gast erhaltene Zwanzigernote getrennt von seinem eigenen Geld aufzu- bewahren und es unverzüglich in den dafür vorgesehenen Tronc-Behälter abzu- führen. Nach der im Tronc-Reglement verwendeten Formulierung sei das zur Dis- kussion stehende Trinkgeld damit als fremde bewegliche Sache zu qualifizieren. Indem B. sodann den Geldschein in die Hosentasche gesteckt habe, habe er zum Ausdruck gebracht, dass er sich diesen habe aneignen wollen. Sein Handeln sei als äusserliches Zeichen seines Zueignungswillens zu werten, so dass der objektive Tatbestand als erfüllt zu betrachten sei. – Auf die Frage, ob sich diese Betrach- tungsweise aufgrund der Aktenlage halten lässt, wird später zurückzukommen sein. Vorerst soll die Sache hingegen unter dem bei Geld üblichen und nach Auffassung der Beschwerdekammer auch vorliegend zur Anwendung gelangenden Gesichts- punkt beurteilt werden, dass eine Vermischung des von B. entgegengenommenen mit seinem eigenen Gelde stattgefunden hat und der Sachverhalt folglich unter Art.</w:t>
      </w:r>
    </w:p>
    <w:p>
      <w:r>
        <w:rPr>
          <w:b/>
        </w:rPr>
        <w:t>E. 8</w:t>
      </w:r>
    </w:p>
    <w:p>
      <w:r>
        <w:t>138 Ziff. 1 Abs. 2 StGB zu subsumieren ist. Dabei wird sich allerdings herausstellen, dass es letztlich einerlei ist, welche Bestimmung herangezogen wird, da das Ergeb- nis in beiden Fällen das gleiche ist. Im einen wie im anderen Fall wird vorausgesetzt, dass dem Angeschuldigten eine fremde bewegliche Sache (Abs. 1) beziehungs- weise ein Vermögenswert (Abs. 2) anvertraut wird. Eine Sache (oder ein Vermö- genswert) gilt nach der bundesgerichtlichen Rechtsprechung als anvertraut, wenn sie dem Täter übergeben oder überlassen wird, damit er sie in bestimmter Weise im Interesse eines anderen verwende, insbesondere verwahre, verwalte oder ablie- fere, wobei es gleichgültig ist, ob die entsprechenden Weisungen ausdrücklich oder stillschweigend erfolgten (BGE 120 IV 278). Beruht die Verpflichtung, für die fremde Sache oder den Vermögenswert im Interesse eines anderen zu sorgen auf Vertrag, braucht der Täter die Sache nicht von demjenigen empfangen zu haben, demge- genüber die Treuepflicht besteht (BGE 118 IV 33). c) Als B. die zwanzig Franken Trinkgeld erhielt, war ihm bewusst, dass er nach den Vorschriften seines Arbeitsvertrages verpflichtet war, dieses Geld in den Tronc abzuliefern. Er war zwar überrascht, dass er als Kontrolleur an der Eingangs- tür ein Trinkgeld erhielt und steckte dieses offenbar mit einem schlechten Gefühl in die Tasche, wollte es aber nach seinen Aussagen später im Beisein von Zeugen in den Tronc-Behälter geben. Das Geld war nach den internen Reglementen nicht für ihn persönlich bestimmt, sondern es musste in eine gemeinsame Trinkgeldkasse abgeführt werden, von welcher 81 % des Geldes an die Arbeitgeberin und 19 % an die Mitarbeiter gingen. Ob diese Verwendung des Geldes im Sinne des Gebers lag, der wohl eher den Angestellten persönlich beschenken wollte, ist zwar fraglich, aber angesichts der klaren und unbestrittenen vertraglichen Regelung ohne Bedeutung. Entsprechend der üblichen Betrachtungsweise (Art. 138 Ziff. 1 Abs. 2 StGB), wo- nach Geld grundsätzlich ins Eigentum des Empfängers übergeht, hat B. wohl Ei- gentum an dem erhaltenen Trinkgeld erworben, nach einer internen vertraglichen Regelung war er aber verpflichtet, es in die gemeinsame Trinkgeldkasse abzulie- fern. Das Bundesgericht hat in einem älteren Entscheid (BGE 98 IV 22 ff.) in einem vergleichbaren Fall eines Tankwarts, der von einem Kunden ein Trinkgeld erhalten hatte, das er nach einer internen Weisung in eine gemeinsame Trinkgeldkasse der Angestellten hätte einlegen müssen, dieses aber für sich behalten hat, ausgeführt, jeder Tankwart sei kraft der internen Vereinbarung beim Empfang der Trinkgelder gleichsam Treuhänder seiner Arbeitskollegen gewesen, welche gleich dem Täter aus der Vereinbarung vermögensrechtliche Ansprüche abgeleitet hätten. Dass die Trinkgelder möglicherweise mit der Inempfangnahme zivilrechtlich Eigentum des Täters geworden seien, ändere nichts daran, dass sie jedenfalls wirtschaftlich frem-</w:t>
      </w:r>
    </w:p>
    <w:p>
      <w:r>
        <w:rPr>
          <w:b/>
        </w:rPr>
        <w:t>E. 9</w:t>
      </w:r>
    </w:p>
    <w:p>
      <w:r>
        <w:t>des Gut gewesen seien, über das dieser nicht nach Belieben habe verfügen können. Diese Rechtsprechung wurde in der Literatur kritisiert. Rehberg (Schweizerische Zeitschrift für Strafrecht, Nr. 92 (1976), S. 40 ff.) sieht den Fehlansatz darin, dass der Kassationshof das „Anvertrauen“ nach Art. 140 (neu Art. 138) Ziff. 1 Abs. 2 StGB in gleicher Weise definiere wie bei Abs. 1 dieser Bestimmung. Anvertraut soll in beiden Fällen sein, was dem Täter übergeben oder überlassen werde, damit er es in bestimmter Weise im Interesse eines anderen verwende. Liege diese Vorausset- zung vor, so betrachte das Bundesgericht im Falle von Abs. 2 das dem Täter über- lassene Gut ohne weiteres auch als für ihn „wirtschaftlich fremd“. Dabei werde aber übersehen, dass das Äquivalent dieser Qualifikation beim Grundtatbestand, die „rechtliche Fremdheit“ der Sache, zusätzlich zum Tatbestandsmerkmal des „Anver- trautseins“ hinzukommen müsse. Damit würden solche Gegenstände vom straf- rechtlichen Schutz ausgenommen, die zwar im Sinne der bundesgerichtlichen De- finition dem Täter „anvertraut“ erschienen, aber in seinem Eigentum stünden. Ähn- liche Sachlagen entstünden oft auch bei vertretbaren Sachen und Guthaben, die rechtlich gesehen dem Empfänger zustünden. In einem solchen Fall verfüge der Täter etwa bei Geld nicht über fremde Mittel, sondern verwende lediglich sein eige- nes Geld nicht in der versprochenen Weise. Daraus folge, dass die bundesgericht- liche Definition für das „Anvertrautsein“ bei Art. 140 Ziff. 1 Abs. 2 StGB zu weit sei und im Grunde genommen auf sämtliche Zahlungs- und Herausgabepflichten zu- treffe. Sie müsse daher analog zum Grundtatbestand durch ein zusätzliches Ele- ment der „wirtschaftlichen Fremdheit“ eingeschränkt werden. Auch Stratenwerth steht der bundesgerichtlichen Rechtsprechung kritisch gegenüber. Er sieht die Schwierigkeit darin, die wirtschaftliche „Fremdheit“ der geschützten Werte genauer zu begrenzen. Es könne dabei, wie die Parallele zu Abs. 1 zeige, nicht um eine blosse Verpflichtung des Täters gehen, über die betroffenen Werte in bestimmter Weise zu verfügen. Diese müssten vielmehr, wenn schon nicht rechtlich, so eben doch wirtschaftlich zum Vermögen eines anderen gehören. Da der Tatbestand dies nicht ausdrücklich sage, habe die Praxis vielfach versucht, die nötigen Einschrän- kungen über das Merkmal des „Anvertrautseins“ vorzunehmen, das auch Abs. 2 enthalte. Danach schieden jedenfalls solche Vermögenswerte aus, die jemand nicht für einen anderen, sondern für sich selbst empfangen habe, wie Trinkgelder (und hier spricht Stratenwerth den oben erwähnten Bundesgerichtsentscheid an), die ein Tankwart in die eigene Tasche stecke, statt sie in die gemeinsame Kasse zu legen. Sowohl nach Rehberg als auch nach Stratenwerth ist demnach im Gegensatz zum Bundesgericht im Falle des Tankwarts Läderach der Tatbestand der Veruntreuung nicht erfüllt, was sie nur tun konnten, indem sie vom Täter aus gesehen die wirt- schaftliche Fremdheit des empfangenen Trinkgeldes verneinten. Betrachtet man die</w:t>
      </w:r>
    </w:p>
    <w:p>
      <w:r>
        <w:rPr>
          <w:b/>
        </w:rPr>
        <w:t>E. 10</w:t>
      </w:r>
    </w:p>
    <w:p>
      <w:r>
        <w:t>Sache vom Geber her, war dies sicher sowohl im Falle Läderach als auch im hier zu beurteilenden Fall durchaus gerechtfertigt, war es doch zweifellos dessen Wille, den Tankwart beziehungsweise den A.-Angestellten persönlich zu beschenken. Durch die Entgegennahme des Trinkgeldes wurden aber Läderach und B. auch in die Lage versetzt, rechtlich und tatsächlich über das empfangene Geld zu verfügen, also die Eigentümerbefugnisse uneingeschränkt auszuüben, womit gesagt werden kann, dass für sie das erhaltene Trinkgeld nicht wirtschaftlich fremd war. Daran än- dert nichts, dass sie auf Grund ihres Arbeitsvertrages verpflichtet waren, das Geld in eine gemeinsame Kasse abzuliefern. Gilt dies nach den Ausführungen der zitier- ten Autoren für den Tankwart Läderach, der an mehreren Tagen erhaltene Trink- gelder in den eigenen Sack steckte und in eigenem Nutzen verwendete, so muss dies erst recht für B. gelten, der die zwanzig Franken lediglich eine Stunde auf sich trug, sie sofort aushändigte, als er auf deren Empfang angesprochen wurde und nach seinen nicht widerlegbaren Aussagen lediglich auf eine geeignete Gelegenheit gewartet hatte, um sie in Gegenwart von Zeugen in einen Tronc-Behälter zu geben. Folgt man somit den nach Auffassung der Beschwerdekammer überzeugenden Ausführungen von Rehberg und Stratenwerth, so ist der objektive Tatbestand von Art. 138 Ziff. 1 Abs. 2 StGB zu verneinen, weil es am Merkmal des Anvertrautseins gebricht. d) Geht man mit der Vorinstanz davon aus, es habe keine Vermischung des Trinkgeldes mit den eigenen Mitteln des Angeschuldigten stattgefunden und es müsse das Vorliegen eines Vertrauensverhältnisses angenommen werden, so ist näher zu untersuchen, ob auch das Tatbestandsmerkmal der Aneignung als erwie- sen zu betrachten ist. Dieses ist ein stets auch durch subjektive Momente, durch die Willensrichtung des Täters charakterisiertes Verhalten. Der Täter muss mit An- eignungswillen gehandelt haben, es muss die dauernde Enteignung des bisherigen Eigentümers zum Zwecke mindestens vorübergehender Zueignung der Sache an den Täter gewollt sein. Dabei kommt es entscheidend auf den Willen des Täters an. Der Aneignungswille ist auf dauernde Enteignung des Eigentümers und mindestens vorübergehende Zueignung an den Täter selbst, das heisst auf Verwendung der Sache zu dessen eigenen Zwecken gerichtet (Stratenwerth, a.a.O., § 13, N. 10, 12 und 25). Es erscheint der Beschwerdekammer nun sehr fraglich, ob die geschilderten Voraussetzungen im Falle von B. als erwiesen angesehen werden können. Auch der Kreispräsident stellte fest, dass sich die Frage, ob sich im Verhalten des Ange- schuldigten ein Zueignungswille manifestierte, nicht eindeutig beantworten lasse. Er</w:t>
      </w:r>
    </w:p>
    <w:p>
      <w:r>
        <w:rPr>
          <w:b/>
        </w:rPr>
        <w:t>E. 11</w:t>
      </w:r>
    </w:p>
    <w:p>
      <w:r>
        <w:t>bejahte die Frage dann aber mit der Begründung, vor dem Hintergrund der B. be- kannten strengen Vorschriften über den Umgang mit Trinkgeldern sei die Tatsache, dass dieser auch nach erfolgter Ablösung vom Dienst an der Eingangstüre das Geld nicht in den Tronc-Behälter gelegt habe, als Zeichen seines Zueignungswillens zu werten. Diese Begründung erscheint etwas dürftig, zumal der Angeschuldigte für seine Verhaltensweise eine Erklärung zu geben in der Lage war, welche einiger- massen plausibel ist. Nimmt man mit dem Kreispräsidenten (und entgegen der von der Beschwerdekammer vertretenen Auffassung) an, bei dem von B. entgegenge- nommenen Geld handle es sich um eine fremde bewegliche Sache, so müsste sich der Aneignungswille in deutlicherer Weise manifestiert haben. Der Angeschuldigte hat aber nichts unternommen, um die Zwanzigernote auch äusserlich sichtbar in sein Vermögen zu überführen. Er hat, nachdem er seinen Einsatzort bei der Ein- gangstür verlassen hatte, nicht versucht, das Geld irgendwo zu verbergen, sondern es im Bewusstsein, dass er mit grosser Wahrscheinlichkeit bei der Entgegennahme des Geldscheins von einem Kollegen oder durch die Videoüberwachung beobachtet worden war, in der Hosentasche behalten, es auf die erste Aufforderung hin auf den Tisch gelegt und keinen Moment bestritten, ein Trinkgeld erhalten zu haben. Ange- sichts dieser Umstände liegen nach Auffassung der Beschwerdekammer keine genügenden Anhaltspunkte vor, welche die Annahme zuliessen, dass der Ange- schuldigten den Willen gehabt hätte, das Geld für eigene Zwecke zu verwenden. Der Aneignungswille ist daher nicht hinreichend dargetan, so dass der objektive Tat- bestand gemäss Art. 138 Ziff. 1 Abs. 1 StGB nicht als erfüllt angesehen werden könnte. e) Mangelt es am Beweis des Aneignungswillens, so spricht schon vieles dafür, dass auch der subjektive Tatbestand von Art. 138 Ziff. 1 Abs. 1 StGB nicht bejaht werden kann, ja es ist ein gewisser Widerspruch, wenn die Vorinstanz zwar feststellt, das Handeln des Angeschuldigten sei als äusserliches Zeichen eines Zu- eignungswillens zu werten, sie dann aber zum Schluss kommt, die Umstände sprächen dafür, dass das Verhalten B.s nicht von einem Aneignungswillen motiviert gewesen sei. Die Beschwerdekammer ist aber nicht nur der Auffassung, dass sich durch keine äusseren Handlungen ein Aneignungswille begründen lässt, sondern ist auch überzeugt, dass es sowohl mit Bezug auf Abs. 1 als auch hinsichtlich der Tatbestandsvariante gemäss Abs. 2 am subjektiven Tatbestand gebricht. In beiden Fällen muss das Verhalten des Täters von der Absicht getragen sein, sich oder ei- nen anderen unrechtmässig zu bereichern, was in Abs. 1 ausdrücklich gesagt und in Abs. 2 durch die Wendung „in seinem oder eines anderen Nutzen“ ausgedrückt wird (Stratenwerth, a.a.O. N. 59). Diese Absicht müsste nun in der Tathandlung klar</w:t>
      </w:r>
    </w:p>
    <w:p>
      <w:r>
        <w:rPr>
          <w:b/>
        </w:rPr>
        <w:t>E. 12</w:t>
      </w:r>
    </w:p>
    <w:p>
      <w:r>
        <w:t>zum Ausdruck gekommen sein. Wie im Falle Läderach, in welchem der Täter die Trinkgelder mehrerer Tage an sich genommen und nach Hause getragen hat, müsste diese Absicht wohl auch im vorliegenden Falle bejaht werden, wenn B. nach Arbeitsschluss das A. verlassen hätte, ohne das Trinkgeld abgeliefert zu haben. Dies war aber gerade nicht der Fall. Der Angeschuldigte hat noch während des glei- chen Arbeitseinsatzes auf die erste Anfrage hin ohne Umschweife sofort bestätigt, ein Trinkgeld erhalten zu haben und hat dieses sofort herausgegeben. Der ganze Ablauf der Ereignisse war ungewöhnlich, und B. befand sich in einer einmaligen Situation, als er während seines Einsatzes als Aufsichtsperson beim Eingang zur Bar ein Trinkgeld erhielt. Wenn er in dieser Lage glaubte, er könne das empfangene Geld bei Gelegenheit in Anwesenheit von Zeugen in den Tronc-Behälter geben und müsse sich des Geldscheins nicht unmittelbar nach der Entgegennahme entledi- gen, so mochte er sich zwar nicht reglementskonform verhalten haben, doch kann darin noch kein strafrechtlich relevantes Benehmen gesehen werden. Die Be- schwerdekammer ist daher der Auffassung, dass dem Angeschuldigten nicht vor- geworfen werden kann, in der Absicht gehandelt zu haben, sich unrechtmässig zu bereichern. Damit ist aber auch der subjektive Tatbestand nicht dargetan, so dass auch aus diesem Grunde die Einstellung des Strafverfahrens gerechtfertigt war. An- gesichts dieser Sachlage könnte auch der von der Beschwerdeführerin angerufene Tatbestand der unrechtmässigen Aneignung gemäss Art. 137 Ziff. 1 StGB nicht zur Anwendung gelangen, der ebenfalls als subjektives Tatbestandselement die Ab- sicht unrechtmässiger Bereicherung erfordert. Da sich die Beschwerdekammer un- ter dem Gesichtspunkt der Veruntreuung auf den Standpunkt stellt, es liege – weil das empfangene Geld keine fremde bewegliche Sache sei – ein Fall gemäss Art. 138 Ziff. 1 Abs. 2 StGB vor, könnte auch die Ziffer 2 von Art. 137 StGB nicht zur Anwendung gelangen, welche die Tat auf Antrag hin auch ohne Vorliegen einer Bereicherungsabsicht für strafbar erklärt. III. Ist die Beschwerde auf Grund obiger Ausführungen abzuweisen, gehen die Kosten des Beschwerdeverfahrens zu Lasten der Beschwerdeführerin (Art. 160 Abs. 1 StPO). Dem Beschwerdegegner ist eine angemessene ausseramtliche Ent- schädigung zu Lasten des Kantons Graubünden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